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C056C4" w:rsidTr="00573E96">
        <w:tc>
          <w:tcPr>
            <w:tcW w:w="4206" w:type="dxa"/>
          </w:tcPr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:rsidR="00C056C4" w:rsidRDefault="00FA5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Салауат урамы, 32</w:t>
            </w:r>
            <w:r w:rsidR="00C056C4">
              <w:rPr>
                <w:rFonts w:ascii="Times New Roman" w:hAnsi="Times New Roman" w:cs="Times New Roman"/>
                <w:bCs/>
                <w:noProof/>
                <w:lang w:eastAsia="ru-RU"/>
              </w:rPr>
              <w:t>. тел. (34755) 3-68-00</w:t>
            </w:r>
          </w:p>
        </w:tc>
        <w:tc>
          <w:tcPr>
            <w:tcW w:w="1670" w:type="dxa"/>
          </w:tcPr>
          <w:p w:rsidR="00C056C4" w:rsidRDefault="00C056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C056C4" w:rsidRDefault="009A004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019175"/>
                  <wp:effectExtent l="0" t="0" r="9525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C056C4" w:rsidRDefault="00C056C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СОВЕТ СЕЛЬСКОГОПОСЕЛЕНИЯ 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СТАРОСУБХАНГУЛОВСКИЙ СЕЛЬСОВЕТ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:rsidR="00C056C4" w:rsidRDefault="00C056C4" w:rsidP="00FA5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ул. Салавата, 3</w:t>
            </w:r>
            <w:r w:rsidR="00FA5B7C">
              <w:rPr>
                <w:rFonts w:ascii="Times New Roman" w:hAnsi="Times New Roman" w:cs="Times New Roman"/>
                <w:bCs/>
                <w:noProof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тел. (34755) 3-68-00</w:t>
            </w:r>
          </w:p>
        </w:tc>
      </w:tr>
    </w:tbl>
    <w:p w:rsidR="00C056C4" w:rsidRDefault="00C056C4" w:rsidP="00573E96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C056C4" w:rsidTr="00573E96">
        <w:tc>
          <w:tcPr>
            <w:tcW w:w="2740" w:type="dxa"/>
          </w:tcPr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:rsidR="00C056C4" w:rsidRDefault="00C05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C056C4" w:rsidRDefault="00C05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C056C4" w:rsidRDefault="00C05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C056C4" w:rsidRDefault="00C0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C056C4" w:rsidRDefault="00C056C4" w:rsidP="00573E96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C056C4" w:rsidRDefault="00C056C4" w:rsidP="00573E96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5B7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FA5B7C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брь 202</w:t>
      </w:r>
      <w:r w:rsidR="00FA5B7C">
        <w:rPr>
          <w:rFonts w:ascii="Times New Roman" w:hAnsi="Times New Roman" w:cs="Times New Roman"/>
          <w:b/>
          <w:sz w:val="28"/>
          <w:szCs w:val="28"/>
        </w:rPr>
        <w:t>3 й.                  № 5-5/1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« </w:t>
      </w:r>
      <w:r w:rsidR="00FA5B7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FA5B7C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56C4" w:rsidRDefault="00C056C4" w:rsidP="00573E96">
      <w:pPr>
        <w:tabs>
          <w:tab w:val="left" w:pos="1265"/>
          <w:tab w:val="left" w:pos="67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ке Собханғол ауылы                                                      с. Старосубхангулово</w:t>
      </w:r>
    </w:p>
    <w:p w:rsidR="00C056C4" w:rsidRPr="009E5DD6" w:rsidRDefault="00C056C4" w:rsidP="00D35889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C056C4" w:rsidRPr="00D35889" w:rsidRDefault="00C056C4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Старосубхангуловский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на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056C4" w:rsidRPr="00573E96" w:rsidRDefault="00C056C4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056C4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 в сумме 19526305,79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Старосубхангуловский сельсовет муниципального района Бурзянский район Республики Башкортостан в сумме 19526305,79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год в сумме 9878,8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сумме 10321,1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Pr="00221588" w:rsidRDefault="00C056C4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год в сумме 9878,8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 утвержденные расходы в сумме 207,0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10321,1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расходы в сумме 407,0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Default="00C056C4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056C4" w:rsidRPr="008F7233" w:rsidRDefault="00C056C4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C056C4" w:rsidRPr="008F7233" w:rsidRDefault="00C056C4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C056C4" w:rsidRPr="008B5526" w:rsidRDefault="00C056C4" w:rsidP="008B552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Старосубхангуловский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Старосубхангуловский сельсовет муниципального района Бурзянский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:rsidR="00C056C4" w:rsidRPr="008F7233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C056C4" w:rsidRDefault="00C056C4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Старосубхангуловский сельсовет муниципального района Бурзянский район Республики Башкортостан на 2024 год и на плановый период 2025 и 2026 годов согласно приложению 1 к настоящему Решению.</w:t>
      </w:r>
    </w:p>
    <w:p w:rsidR="00C056C4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C056C4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 на 2024 год и на плановый период 2025 и 2026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056C4" w:rsidRPr="008F7233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мнымнаправлениям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2 к настоящему Решению;</w:t>
      </w:r>
    </w:p>
    <w:p w:rsidR="00C056C4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программам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Решению.</w:t>
      </w:r>
    </w:p>
    <w:p w:rsidR="00C056C4" w:rsidRDefault="00C056C4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 на 2024 год и на плановый период 2025 и 2026 годов согласно приложению 4 к настоящему Решению.</w:t>
      </w:r>
    </w:p>
    <w:p w:rsidR="00C056C4" w:rsidRPr="005B06D2" w:rsidRDefault="00C056C4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C056C4" w:rsidRPr="005B06D2" w:rsidRDefault="00C056C4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Башкортостан, осуществляется Упавлением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C056C4" w:rsidRPr="00E16B38" w:rsidRDefault="00C056C4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Статья 6</w:t>
      </w:r>
    </w:p>
    <w:p w:rsidR="00C056C4" w:rsidRPr="005B06D2" w:rsidRDefault="00C056C4" w:rsidP="005B06D2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Старосубхангуловский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1300,0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 1300,0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1300,0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056C4" w:rsidRDefault="00C056C4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C056C4" w:rsidRDefault="00C056C4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056C4" w:rsidRDefault="00C056C4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и иных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056C4" w:rsidRDefault="00C056C4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2024–2026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056C4" w:rsidRPr="008F7233" w:rsidRDefault="00C056C4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C056C4" w:rsidRPr="0036544F" w:rsidRDefault="00C056C4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СТАРОСУБХАНГУЛОВСКИЙ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СТАРОСУБХАНГУЛОВСКИЙ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года в сумме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056C4" w:rsidRDefault="00C056C4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026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рубля.</w:t>
      </w:r>
    </w:p>
    <w:p w:rsidR="00C056C4" w:rsidRDefault="00C056C4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C056C4" w:rsidRDefault="00C056C4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Старосубхангуловский сельсовет муниципального района Бурзянский район Республики Башкортостан 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 20__ года № _______ «</w:t>
      </w:r>
      <w:r w:rsidRPr="003A3B3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Старосубхангуловский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Бурзянский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C056C4" w:rsidRDefault="00C056C4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Старосубхангуловский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56C4" w:rsidRPr="00BB151C" w:rsidRDefault="00C056C4" w:rsidP="00C11BB4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Установить, что средства, за исключением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обслуживание муниципального долга сельского поселения СТАРОСУБХАНГУЛОВСКИЙ сельсовет муниципального района Бурзянский район Республики Башкортостан, бюджетных ассигнований Дорожного фонда муниципального района Бурзянский район Республики Башкортостан, бюджетных ассигнований на реализацию Республиканской адресной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инвестиционной программы Республики Башкортостан, бюджетных ассигнований за счет безвозмездных поступлений, бюджетных ассигнований на реализацию мероприятий региональных проектов и бюджетных ассигнований, в целях софинансирования которых предоставляются из республиканского и федерального бюджета субсидии и иные межбюджетные трансферты, в объеме сумм экономии средств бюджета сельского поселения СТАРОСУБХАНГУЛОВСКИЙ сельсовет муниципального района Бурзянский район Республики Башкортостан по результатам проведения конкурентных способов определения поставщиков (подрядчиков, исполнителей) при осуществлении закупок товаров, работ, услуг в 2024 году, сложившейся у их получателей – органов местного самоуправления, подлежат использованию получателями – органами местного самоуправления в порядке, установленном Администрацией муниципального района Бурзянский район Республики Башкортостан.</w:t>
      </w:r>
    </w:p>
    <w:p w:rsidR="00C056C4" w:rsidRDefault="00C056C4" w:rsidP="009E5DD6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 Установить, что исполнение бюджета сельского поселения Старосубхангуловский сельсовет муниципального района Бурзянский район Республики Башкортостан в 2024 году осуществляется с учетом особенностей исполнения бюджетов бюджетной системы Российской Федерации в 2024 году, определенных действующим федеральным законодательством.</w:t>
      </w:r>
    </w:p>
    <w:p w:rsidR="00C056C4" w:rsidRPr="009E5DD6" w:rsidRDefault="00C056C4" w:rsidP="009E5DD6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56C4" w:rsidRPr="008F7233" w:rsidRDefault="00C056C4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10</w:t>
      </w:r>
    </w:p>
    <w:p w:rsidR="00C056C4" w:rsidRDefault="00C056C4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C056C4" w:rsidRDefault="00C056C4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056C4" w:rsidRPr="00187950" w:rsidRDefault="00C056C4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056C4" w:rsidRDefault="00C056C4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C056C4" w:rsidRDefault="00C056C4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Старосубхангуловский сельсовет</w:t>
      </w:r>
    </w:p>
    <w:p w:rsidR="00C056C4" w:rsidRDefault="00C056C4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сельсовет</w:t>
      </w:r>
    </w:p>
    <w:p w:rsidR="00C056C4" w:rsidRDefault="00C056C4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Башкортостан:   Р.Р.Шахниязов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56C4" w:rsidSect="009E5DD6">
      <w:headerReference w:type="default" r:id="rId8"/>
      <w:headerReference w:type="first" r:id="rId9"/>
      <w:pgSz w:w="11906" w:h="16838" w:code="9"/>
      <w:pgMar w:top="1247" w:right="851" w:bottom="794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44" w:rsidRDefault="000E0744" w:rsidP="00A73E2F">
      <w:r>
        <w:separator/>
      </w:r>
    </w:p>
  </w:endnote>
  <w:endnote w:type="continuationSeparator" w:id="0">
    <w:p w:rsidR="000E0744" w:rsidRDefault="000E0744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44" w:rsidRDefault="000E0744" w:rsidP="00A73E2F">
      <w:r>
        <w:separator/>
      </w:r>
    </w:p>
  </w:footnote>
  <w:footnote w:type="continuationSeparator" w:id="0">
    <w:p w:rsidR="000E0744" w:rsidRDefault="000E0744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4" w:rsidRPr="00156A4F" w:rsidRDefault="00C056C4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9A0049">
      <w:rPr>
        <w:rFonts w:ascii="Times New Roman" w:hAnsi="Times New Roman"/>
        <w:noProof/>
        <w:sz w:val="28"/>
        <w:szCs w:val="28"/>
      </w:rPr>
      <w:t>7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C056C4" w:rsidRPr="00156A4F" w:rsidRDefault="00C056C4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4" w:rsidRPr="007226DB" w:rsidRDefault="00C056C4">
    <w:pPr>
      <w:pStyle w:val="a3"/>
      <w:jc w:val="center"/>
      <w:rPr>
        <w:rFonts w:ascii="Times New Roman" w:hAnsi="Times New Roman"/>
        <w:sz w:val="28"/>
        <w:szCs w:val="28"/>
      </w:rPr>
    </w:pPr>
  </w:p>
  <w:p w:rsidR="00C056C4" w:rsidRPr="007226DB" w:rsidRDefault="00C056C4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8AD"/>
    <w:rsid w:val="00004F36"/>
    <w:rsid w:val="000055ED"/>
    <w:rsid w:val="00006AC7"/>
    <w:rsid w:val="00007943"/>
    <w:rsid w:val="0001079D"/>
    <w:rsid w:val="00011BAD"/>
    <w:rsid w:val="00012B82"/>
    <w:rsid w:val="00012C4E"/>
    <w:rsid w:val="00012C85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2F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38C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6963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D6616"/>
    <w:rsid w:val="000E0744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5ADD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1FBD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950"/>
    <w:rsid w:val="00187CC4"/>
    <w:rsid w:val="00190ECD"/>
    <w:rsid w:val="001919D1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554D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40A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1A1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78A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2E2C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1CAE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968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1BC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0BAA"/>
    <w:rsid w:val="003821D7"/>
    <w:rsid w:val="00382389"/>
    <w:rsid w:val="00382AF8"/>
    <w:rsid w:val="00383703"/>
    <w:rsid w:val="00383FFF"/>
    <w:rsid w:val="0038419A"/>
    <w:rsid w:val="003856D0"/>
    <w:rsid w:val="00385F64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4DE3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3B9A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6DF"/>
    <w:rsid w:val="0043075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430"/>
    <w:rsid w:val="0045751F"/>
    <w:rsid w:val="004576D5"/>
    <w:rsid w:val="00460051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6CB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37B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96"/>
    <w:rsid w:val="00573EC4"/>
    <w:rsid w:val="00575A47"/>
    <w:rsid w:val="005773CB"/>
    <w:rsid w:val="005776E7"/>
    <w:rsid w:val="00582C18"/>
    <w:rsid w:val="005838D8"/>
    <w:rsid w:val="00584051"/>
    <w:rsid w:val="00584687"/>
    <w:rsid w:val="00584BC5"/>
    <w:rsid w:val="00584DA1"/>
    <w:rsid w:val="005856A6"/>
    <w:rsid w:val="005861D8"/>
    <w:rsid w:val="00590420"/>
    <w:rsid w:val="005916DE"/>
    <w:rsid w:val="00591836"/>
    <w:rsid w:val="00591EAB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06D2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3B9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2981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2A0D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29B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AFA"/>
    <w:rsid w:val="006E4CF1"/>
    <w:rsid w:val="006E5E3D"/>
    <w:rsid w:val="006E607A"/>
    <w:rsid w:val="006E6963"/>
    <w:rsid w:val="006E698A"/>
    <w:rsid w:val="006E6C06"/>
    <w:rsid w:val="006E6D18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102A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4E97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09F0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6C64"/>
    <w:rsid w:val="00867CA5"/>
    <w:rsid w:val="008701CB"/>
    <w:rsid w:val="00870D40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6D6"/>
    <w:rsid w:val="008A6736"/>
    <w:rsid w:val="008A6747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5526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0AF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37F2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437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049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563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5DD6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81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0BD7"/>
    <w:rsid w:val="00AB1EC9"/>
    <w:rsid w:val="00AB29D7"/>
    <w:rsid w:val="00AB30E9"/>
    <w:rsid w:val="00AB5912"/>
    <w:rsid w:val="00AB5962"/>
    <w:rsid w:val="00AB6560"/>
    <w:rsid w:val="00AB7B8B"/>
    <w:rsid w:val="00AB7D0B"/>
    <w:rsid w:val="00AC0F08"/>
    <w:rsid w:val="00AC12BD"/>
    <w:rsid w:val="00AC18BE"/>
    <w:rsid w:val="00AC1EF2"/>
    <w:rsid w:val="00AC1FCE"/>
    <w:rsid w:val="00AC25D4"/>
    <w:rsid w:val="00AC27EF"/>
    <w:rsid w:val="00AC27FA"/>
    <w:rsid w:val="00AC2B38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671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5671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13D4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56C4"/>
    <w:rsid w:val="00C06DBA"/>
    <w:rsid w:val="00C11551"/>
    <w:rsid w:val="00C11BB4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224A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3120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2258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EB6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0C3C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658D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88C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0C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275B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1F0C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6FE9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0CED"/>
    <w:rsid w:val="00F41265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0CC6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B7C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3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3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staro</cp:lastModifiedBy>
  <cp:revision>2</cp:revision>
  <cp:lastPrinted>2023-12-26T10:35:00Z</cp:lastPrinted>
  <dcterms:created xsi:type="dcterms:W3CDTF">2023-12-27T07:16:00Z</dcterms:created>
  <dcterms:modified xsi:type="dcterms:W3CDTF">2023-12-27T07:16:00Z</dcterms:modified>
</cp:coreProperties>
</file>