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573E96" w:rsidTr="00573E96">
        <w:tc>
          <w:tcPr>
            <w:tcW w:w="4206" w:type="dxa"/>
            <w:hideMark/>
          </w:tcPr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:rsidR="00573E96" w:rsidRDefault="00573E96" w:rsidP="00FA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Салауат урамы, 3</w:t>
            </w:r>
            <w:r w:rsidR="00FA59D8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тел. (34755) 3-68-00</w:t>
            </w:r>
          </w:p>
        </w:tc>
        <w:tc>
          <w:tcPr>
            <w:tcW w:w="1670" w:type="dxa"/>
          </w:tcPr>
          <w:p w:rsidR="00573E96" w:rsidRDefault="00573E96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573E96" w:rsidRDefault="001B28F1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3822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:rsidR="00573E96" w:rsidRDefault="00573E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 СЕЛЬСКОГО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ПОСЕЛЕНИЯ 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СТАРОСУБХАНГУЛОВСКИЙ СЕЛЬСОВЕТ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:rsidR="00573E96" w:rsidRDefault="00573E96" w:rsidP="00FA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ул. Салавата, 3</w:t>
            </w:r>
            <w:r w:rsidR="00FA59D8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тел. (34755) 3-68-00</w:t>
            </w:r>
          </w:p>
        </w:tc>
      </w:tr>
    </w:tbl>
    <w:p w:rsidR="00573E96" w:rsidRDefault="00573E96" w:rsidP="00573E96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573E96" w:rsidTr="00573E96">
        <w:tc>
          <w:tcPr>
            <w:tcW w:w="2740" w:type="dxa"/>
            <w:hideMark/>
          </w:tcPr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:rsidR="00573E96" w:rsidRDefault="0057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3E96" w:rsidRDefault="0057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573E96" w:rsidRDefault="0057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:rsidR="00573E96" w:rsidRDefault="0057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573E96" w:rsidRDefault="00573E96" w:rsidP="00573E96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573E96" w:rsidRDefault="00573E96" w:rsidP="00573E96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1B28F1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ноябрь 2023 й.                  № _______                    « 1</w:t>
      </w:r>
      <w:r w:rsidR="001B28F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 ноября  2023 г.</w:t>
      </w:r>
    </w:p>
    <w:p w:rsidR="00573E96" w:rsidRDefault="00573E96" w:rsidP="00573E96">
      <w:pPr>
        <w:tabs>
          <w:tab w:val="left" w:pos="1265"/>
          <w:tab w:val="left" w:pos="67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ке Собханғол ауылы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с. Старосубхангулово</w:t>
      </w:r>
    </w:p>
    <w:p w:rsidR="00012C85" w:rsidRPr="009E5DD6" w:rsidRDefault="00012C85" w:rsidP="00D35889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012C85" w:rsidRPr="00D35889" w:rsidRDefault="00012C85" w:rsidP="00D3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r w:rsidR="00573E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Старосубхангуловский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на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358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12C85" w:rsidRPr="00573E96" w:rsidRDefault="00012C85" w:rsidP="00984009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012C85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>Статья 1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 в сумме 11145224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лики Башкортостан в сумме 11145224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Pr="006C2732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5 год в сумме 9724100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в сумме 9924100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Pr="00221588" w:rsidRDefault="00012C85" w:rsidP="00EA4C0C">
      <w:pPr>
        <w:pStyle w:val="ConsPlusTitle"/>
        <w:spacing w:line="35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 го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д в сумме 9724100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услов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о утвержденные расходы в сумме 207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9924100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</w:t>
      </w:r>
      <w:r w:rsidR="00F01F0C">
        <w:rPr>
          <w:rFonts w:ascii="Times New Roman" w:hAnsi="Times New Roman" w:cs="Times New Roman"/>
          <w:b w:val="0"/>
          <w:bCs w:val="0"/>
          <w:sz w:val="28"/>
          <w:szCs w:val="28"/>
        </w:rPr>
        <w:t>расходы в сумме 407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 тыс.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Default="00012C85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D866D4">
        <w:rPr>
          <w:rFonts w:ascii="Times New Roman" w:hAnsi="Times New Roman" w:cs="Times New Roman"/>
          <w:b w:val="0"/>
          <w:bCs w:val="0"/>
          <w:sz w:val="28"/>
          <w:szCs w:val="28"/>
        </w:rPr>
        <w:t>сумме 0,00 рублей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12C85" w:rsidRPr="008F7233" w:rsidRDefault="00012C85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 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рублей.</w:t>
      </w:r>
    </w:p>
    <w:p w:rsidR="00012C85" w:rsidRPr="008F7233" w:rsidRDefault="00012C85" w:rsidP="008768B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2</w:t>
      </w:r>
    </w:p>
    <w:p w:rsidR="00012C85" w:rsidRPr="008B5526" w:rsidRDefault="00012C85" w:rsidP="008B552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для последующего доведения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взносы (пожертвования).</w:t>
      </w:r>
    </w:p>
    <w:p w:rsidR="00012C85" w:rsidRPr="008F7233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012C85" w:rsidRDefault="00012C85" w:rsidP="003D628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на 2024 год и на плановый период 2025 и 2026 годов согласно приложению 1 к настоящему Решению.</w:t>
      </w:r>
    </w:p>
    <w:p w:rsidR="00012C85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4</w:t>
      </w:r>
    </w:p>
    <w:p w:rsidR="00012C85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в пределах общего объема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на 2024 год и на плановый период 2025 и 2026 годов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12C85" w:rsidRPr="008F7233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мным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2 к настоящему Решению;</w:t>
      </w:r>
    </w:p>
    <w:p w:rsidR="00012C85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программам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3 к настоящему Решению.</w:t>
      </w:r>
    </w:p>
    <w:p w:rsidR="00012C85" w:rsidRDefault="00012C85" w:rsidP="00EA4C0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на 2024 год и на плановый период 2025 и 2026 годов согласно приложению 4 к настоящему Решению.</w:t>
      </w:r>
    </w:p>
    <w:p w:rsidR="00012C85" w:rsidRPr="005B06D2" w:rsidRDefault="00012C85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012C85" w:rsidRPr="005B06D2" w:rsidRDefault="00012C85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Казначейское обслуживание казначейских счетов, открытых 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 w:rsidRPr="005B06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Башкортостан, осуществляется Упавлением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012C85" w:rsidRPr="00E16B38" w:rsidRDefault="00012C85" w:rsidP="005B06D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Статья 6</w:t>
      </w:r>
    </w:p>
    <w:p w:rsidR="00012C85" w:rsidRPr="005B06D2" w:rsidRDefault="00012C85" w:rsidP="005B06D2">
      <w:pPr>
        <w:pStyle w:val="ConsPlusTitle"/>
        <w:spacing w:line="348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187950"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130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 год в сумме 1</w:t>
      </w:r>
      <w:r w:rsidR="00187950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187950">
        <w:rPr>
          <w:rFonts w:ascii="Times New Roman" w:hAnsi="Times New Roman" w:cs="Times New Roman"/>
          <w:b w:val="0"/>
          <w:bCs w:val="0"/>
          <w:sz w:val="28"/>
          <w:szCs w:val="28"/>
        </w:rPr>
        <w:t>2026 год в сумме 130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 тыс.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2C85" w:rsidRDefault="00012C85" w:rsidP="002A5BF8">
      <w:pPr>
        <w:pStyle w:val="ConsPlusTitle"/>
        <w:tabs>
          <w:tab w:val="left" w:pos="3466"/>
        </w:tabs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32408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</w:p>
    <w:p w:rsidR="00012C85" w:rsidRDefault="00012C85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2C85" w:rsidRDefault="00012C85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2. Проекты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и иных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2C85" w:rsidRDefault="00012C85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3. 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2024–2026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работников организаций бюджетной </w:t>
      </w:r>
      <w:r w:rsidRPr="00BD7C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сферы, 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за исключением случаев, связанных с реализацией поручений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отмене ограничений по увеличению штатной численности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2C85" w:rsidRPr="008F7233" w:rsidRDefault="00012C85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96F5A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8</w:t>
      </w:r>
    </w:p>
    <w:p w:rsidR="00012C85" w:rsidRPr="0036544F" w:rsidRDefault="00012C85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 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внутреннего долга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валюте Российской Федерации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года в сумме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00рубл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3654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12C85" w:rsidRDefault="00012C85" w:rsidP="00AF62E6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возможным гарантийным случаям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026 год в сумме 0,00</w:t>
      </w:r>
      <w:r w:rsidRPr="00BF7D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рубля.</w:t>
      </w:r>
    </w:p>
    <w:p w:rsidR="00012C85" w:rsidRDefault="00012C85" w:rsidP="00EC57B7">
      <w:pPr>
        <w:widowControl w:val="0"/>
        <w:autoSpaceDE w:val="0"/>
        <w:autoSpaceDN w:val="0"/>
        <w:adjustRightInd w:val="0"/>
        <w:spacing w:after="0" w:line="341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7233"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012C85" w:rsidRDefault="00012C85" w:rsidP="00EC57B7">
      <w:pPr>
        <w:widowControl w:val="0"/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___________ 20__ года № _______ «</w:t>
      </w:r>
      <w:r w:rsidRPr="003A3B3C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сельском поселении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83208D">
        <w:rPr>
          <w:rFonts w:ascii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3208D">
        <w:rPr>
          <w:rFonts w:ascii="Times New Roman" w:hAnsi="Times New Roman"/>
          <w:sz w:val="28"/>
          <w:szCs w:val="28"/>
          <w:lang w:eastAsia="ru-RU"/>
        </w:rPr>
        <w:t xml:space="preserve">Бурзянский район </w:t>
      </w:r>
      <w:r w:rsidRPr="003A3B3C">
        <w:rPr>
          <w:rFonts w:ascii="Times New Roman" w:hAnsi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A3B3C">
        <w:rPr>
          <w:rFonts w:ascii="Times New Roman" w:hAnsi="Times New Roman"/>
          <w:sz w:val="28"/>
          <w:szCs w:val="28"/>
          <w:lang w:eastAsia="ru-RU"/>
        </w:rPr>
        <w:t xml:space="preserve"> Башкортостан»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дополнительные основания для внесения изменений в сводную бюджетную роспись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и на плановый период, связанные с особенностями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:</w:t>
      </w:r>
    </w:p>
    <w:p w:rsidR="00012C85" w:rsidRDefault="00012C85" w:rsidP="00EC57B7">
      <w:pPr>
        <w:autoSpaceDE w:val="0"/>
        <w:autoSpaceDN w:val="0"/>
        <w:adjustRightInd w:val="0"/>
        <w:spacing w:after="0" w:line="353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51C">
        <w:rPr>
          <w:rFonts w:ascii="Times New Roman" w:hAnsi="Times New Roman"/>
          <w:sz w:val="28"/>
          <w:szCs w:val="28"/>
          <w:lang w:eastAsia="ru-RU"/>
        </w:rPr>
        <w:t xml:space="preserve">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</w:t>
      </w:r>
      <w:r w:rsidRPr="00BB151C">
        <w:rPr>
          <w:rFonts w:ascii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2C85" w:rsidRPr="00BB151C" w:rsidRDefault="00012C85" w:rsidP="00C11BB4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Установить, что средства, за исключением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обслуживание муниципального долга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Башкортостан, бюджетных ассигнований Дорожного фонда муниципального района Бурзянский район Республики Башкортостан, бюджетных ассигнований на реализацию Республиканской адресной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инвестиционной программы Республики Башкортостан, бюджетных ассигнований за счет безвозмездных поступлений, бюджетных ассигнований на реализацию мероприятий региональных проектов и бюджетных ассигнований, в целях софинансирования которых предоставляются из республиканского и федерального бюджета субсидии и иные межбюджетные трансферты, в объеме сумм экономии средств бюджета сельского поселения </w:t>
      </w:r>
      <w:r w:rsidR="00573E96">
        <w:rPr>
          <w:rFonts w:ascii="Times New Roman" w:hAnsi="Times New Roman"/>
          <w:sz w:val="28"/>
          <w:szCs w:val="28"/>
          <w:lang w:eastAsia="ru-RU"/>
        </w:rPr>
        <w:t>СТАРОСУБХАНГУЛОВСКИЙ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Бурзянский район Республики Башкортостан по результатам проведения конкурентных способов определения поставщиков (подрядчиков, исполнителей) при осуществлении закупок товаров, работ, услуг в 2024 году, сложившейся у их получателей – органов местного самоуправления, подлежат использованию получателями – органами местного самоуправления в порядке, установленном Администрацией муниципального района Бурзянский район Республики Башкортостан.</w:t>
      </w:r>
    </w:p>
    <w:p w:rsidR="009E5DD6" w:rsidRDefault="00012C85" w:rsidP="009E5DD6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Установить, что исполнение бюджета сельского поселения </w:t>
      </w:r>
      <w:r w:rsidR="00573E96">
        <w:rPr>
          <w:rFonts w:ascii="Times New Roman" w:hAnsi="Times New Roman" w:cs="Times New Roman"/>
          <w:b w:val="0"/>
          <w:bCs w:val="0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Бурзянский район Республики Башкортостан в 2024 году осуществляется с учетом особенностей исполнения бюджетов бюджетной системы Российской Федерации в 2024 году, определенных действующим федеральным законодательством.</w:t>
      </w:r>
    </w:p>
    <w:p w:rsidR="009E5DD6" w:rsidRPr="009E5DD6" w:rsidRDefault="009E5DD6" w:rsidP="009E5DD6">
      <w:pPr>
        <w:pStyle w:val="ConsPlusTitle"/>
        <w:spacing w:line="353" w:lineRule="auto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C85" w:rsidRPr="008F7233" w:rsidRDefault="00012C85" w:rsidP="00EC57B7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Cs w:val="0"/>
          <w:sz w:val="28"/>
          <w:szCs w:val="28"/>
        </w:rPr>
        <w:t>10</w:t>
      </w:r>
    </w:p>
    <w:p w:rsidR="00012C85" w:rsidRDefault="00012C85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9E5DD6" w:rsidRDefault="009E5DD6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E5DD6" w:rsidRPr="00187950" w:rsidRDefault="009E5DD6" w:rsidP="00187950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12C85" w:rsidRDefault="00012C85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012C85" w:rsidRDefault="00012C85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3E96">
        <w:rPr>
          <w:rFonts w:ascii="Times New Roman" w:hAnsi="Times New Roman" w:cs="Times New Roman"/>
          <w:sz w:val="28"/>
          <w:szCs w:val="28"/>
        </w:rPr>
        <w:t>Старосубхангуловский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12C85" w:rsidRDefault="00012C85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Бурзянский сельсовет</w:t>
      </w:r>
    </w:p>
    <w:p w:rsidR="00012C85" w:rsidRDefault="00012C85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</w:t>
      </w:r>
      <w:r w:rsidR="00187950">
        <w:rPr>
          <w:rFonts w:ascii="Times New Roman" w:hAnsi="Times New Roman" w:cs="Times New Roman"/>
          <w:sz w:val="28"/>
          <w:szCs w:val="28"/>
        </w:rPr>
        <w:t xml:space="preserve">        Р.Р.Шахниязов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2C85" w:rsidSect="009E5DD6">
      <w:headerReference w:type="default" r:id="rId8"/>
      <w:headerReference w:type="first" r:id="rId9"/>
      <w:pgSz w:w="11906" w:h="16838" w:code="9"/>
      <w:pgMar w:top="1247" w:right="851" w:bottom="79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A3" w:rsidRDefault="009C1CA3" w:rsidP="00A73E2F">
      <w:r>
        <w:separator/>
      </w:r>
    </w:p>
  </w:endnote>
  <w:endnote w:type="continuationSeparator" w:id="0">
    <w:p w:rsidR="009C1CA3" w:rsidRDefault="009C1CA3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A3" w:rsidRDefault="009C1CA3" w:rsidP="00A73E2F">
      <w:r>
        <w:separator/>
      </w:r>
    </w:p>
  </w:footnote>
  <w:footnote w:type="continuationSeparator" w:id="0">
    <w:p w:rsidR="009C1CA3" w:rsidRDefault="009C1CA3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5" w:rsidRPr="00156A4F" w:rsidRDefault="00012C85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FA59D8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012C85" w:rsidRPr="00156A4F" w:rsidRDefault="00012C85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85" w:rsidRPr="007226DB" w:rsidRDefault="00012C85">
    <w:pPr>
      <w:pStyle w:val="a3"/>
      <w:jc w:val="center"/>
      <w:rPr>
        <w:rFonts w:ascii="Times New Roman" w:hAnsi="Times New Roman"/>
        <w:sz w:val="28"/>
        <w:szCs w:val="28"/>
      </w:rPr>
    </w:pPr>
  </w:p>
  <w:p w:rsidR="00012C85" w:rsidRPr="007226DB" w:rsidRDefault="00012C85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8AD"/>
    <w:rsid w:val="00004F36"/>
    <w:rsid w:val="000055ED"/>
    <w:rsid w:val="00006AC7"/>
    <w:rsid w:val="00007943"/>
    <w:rsid w:val="0001079D"/>
    <w:rsid w:val="00011BAD"/>
    <w:rsid w:val="00012B82"/>
    <w:rsid w:val="00012C4E"/>
    <w:rsid w:val="00012C85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2F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38C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6963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D6616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5ADD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1FBD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950"/>
    <w:rsid w:val="00187CC4"/>
    <w:rsid w:val="00190ECD"/>
    <w:rsid w:val="001919D1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554D"/>
    <w:rsid w:val="001A7221"/>
    <w:rsid w:val="001A724F"/>
    <w:rsid w:val="001A743D"/>
    <w:rsid w:val="001B256F"/>
    <w:rsid w:val="001B28F1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40A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78A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2E2C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1CAE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968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1BC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0BAA"/>
    <w:rsid w:val="003821D7"/>
    <w:rsid w:val="00382389"/>
    <w:rsid w:val="00382AF8"/>
    <w:rsid w:val="00383703"/>
    <w:rsid w:val="00383FFF"/>
    <w:rsid w:val="0038419A"/>
    <w:rsid w:val="003856D0"/>
    <w:rsid w:val="00385F64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4DE3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6DF"/>
    <w:rsid w:val="0043075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430"/>
    <w:rsid w:val="0045751F"/>
    <w:rsid w:val="004576D5"/>
    <w:rsid w:val="00460051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6CB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37B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96"/>
    <w:rsid w:val="00573EC4"/>
    <w:rsid w:val="00575A47"/>
    <w:rsid w:val="005773CB"/>
    <w:rsid w:val="005776E7"/>
    <w:rsid w:val="00582C18"/>
    <w:rsid w:val="005838D8"/>
    <w:rsid w:val="00584051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06D2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3B9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2981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2A0D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29B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AFA"/>
    <w:rsid w:val="006E4CF1"/>
    <w:rsid w:val="006E5E3D"/>
    <w:rsid w:val="006E607A"/>
    <w:rsid w:val="006E6963"/>
    <w:rsid w:val="006E698A"/>
    <w:rsid w:val="006E6C06"/>
    <w:rsid w:val="006E6D18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102A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4E97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09F0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6C64"/>
    <w:rsid w:val="00867CA5"/>
    <w:rsid w:val="008701CB"/>
    <w:rsid w:val="00870D40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6D6"/>
    <w:rsid w:val="008A6736"/>
    <w:rsid w:val="008A6747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5526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0AF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37F2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3437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563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CA3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5DD6"/>
    <w:rsid w:val="009E72DA"/>
    <w:rsid w:val="009F0057"/>
    <w:rsid w:val="009F157F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81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0BD7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B38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671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5671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13D4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1BB4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224A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3120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2258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EB6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0C3C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658D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88C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E39"/>
    <w:rsid w:val="00EA3C33"/>
    <w:rsid w:val="00EA4C0C"/>
    <w:rsid w:val="00EA4FBF"/>
    <w:rsid w:val="00EA672B"/>
    <w:rsid w:val="00EA6ABD"/>
    <w:rsid w:val="00EA720C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275B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1F0C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6FE9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1265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0CC6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9D8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D3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uiPriority w:val="99"/>
    <w:semiHidden/>
    <w:rsid w:val="00977873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rFonts w:cs="Times New Roman"/>
      <w:b/>
      <w:lang w:eastAsia="en-US"/>
    </w:rPr>
  </w:style>
  <w:style w:type="character" w:styleId="af2">
    <w:name w:val="Hyperlink"/>
    <w:uiPriority w:val="99"/>
    <w:rsid w:val="00BE1E68"/>
    <w:rPr>
      <w:rFonts w:cs="Times New Roman"/>
      <w:color w:val="0000FF"/>
      <w:u w:val="single"/>
    </w:rPr>
  </w:style>
  <w:style w:type="table" w:customStyle="1" w:styleId="10">
    <w:name w:val="Сетка таблицы1"/>
    <w:uiPriority w:val="99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rsid w:val="00C969EB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969EB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D322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staro</cp:lastModifiedBy>
  <cp:revision>2</cp:revision>
  <cp:lastPrinted>2023-11-23T09:37:00Z</cp:lastPrinted>
  <dcterms:created xsi:type="dcterms:W3CDTF">2023-11-23T09:54:00Z</dcterms:created>
  <dcterms:modified xsi:type="dcterms:W3CDTF">2023-11-23T09:54:00Z</dcterms:modified>
</cp:coreProperties>
</file>