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9F1847" w14:paraId="0F6D6756" w14:textId="77777777" w:rsidTr="009F1847">
        <w:tc>
          <w:tcPr>
            <w:tcW w:w="4206" w:type="dxa"/>
            <w:hideMark/>
          </w:tcPr>
          <w:p w14:paraId="1D44E7C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14:paraId="777D17E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14:paraId="150A68C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14:paraId="4B62353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14:paraId="119F7AA9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14:paraId="2E31616A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14:paraId="3772E5F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14:paraId="4DEC1E8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Салауат урамы, 38. тел. (34755) 3-68-00</w:t>
            </w:r>
          </w:p>
        </w:tc>
        <w:tc>
          <w:tcPr>
            <w:tcW w:w="1670" w:type="dxa"/>
          </w:tcPr>
          <w:p w14:paraId="765AE711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185F7DD3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1CBFB" wp14:editId="300B545F">
                  <wp:extent cx="800100" cy="103822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14:paraId="226ACAD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 СЕЛЬСКОГО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ПОСЕЛЕНИЯ </w:t>
            </w:r>
          </w:p>
          <w:p w14:paraId="75F5578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СТАРОСУБХАНГУЛОВСКИЙ СЕЛЬСОВЕТ</w:t>
            </w:r>
          </w:p>
          <w:p w14:paraId="602AB3D2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14:paraId="614175E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14:paraId="2754E70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14:paraId="7F2EBACC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14:paraId="3EC10F1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ул. Салавата, 38 тел. (34755) 3-68-00</w:t>
            </w:r>
          </w:p>
        </w:tc>
      </w:tr>
    </w:tbl>
    <w:p w14:paraId="732210A0" w14:textId="77777777" w:rsidR="009F1847" w:rsidRDefault="009F1847" w:rsidP="009F1847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9F1847" w14:paraId="3577A36A" w14:textId="77777777" w:rsidTr="009F1847">
        <w:tc>
          <w:tcPr>
            <w:tcW w:w="2740" w:type="dxa"/>
            <w:hideMark/>
          </w:tcPr>
          <w:p w14:paraId="7CE4C7C7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14:paraId="6FD10EA8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422C3C7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3619722F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14:paraId="093E48B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49C4EFAD" w14:textId="77777777" w:rsidR="009F1847" w:rsidRDefault="009F1847" w:rsidP="009F1847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14:paraId="232B9558" w14:textId="7E45BD1D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1</w:t>
      </w:r>
      <w:r w:rsidR="008552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ноябрь 202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й.                  № </w:t>
      </w:r>
      <w:r w:rsidR="00A72D3C">
        <w:rPr>
          <w:rFonts w:ascii="Times New Roman" w:eastAsia="Times New Roman" w:hAnsi="Times New Roman" w:cs="Times New Roman"/>
          <w:b/>
          <w:sz w:val="28"/>
          <w:szCs w:val="28"/>
        </w:rPr>
        <w:t>4-36/3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 1</w:t>
      </w:r>
      <w:r w:rsidR="00855280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bookmarkStart w:id="0" w:name="_GoBack"/>
      <w:bookmarkEnd w:id="0"/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»  ноября 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5A0D0E1C" w14:textId="77777777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ке Собханғол ауылы                                                           с. Старосубхангулово</w:t>
      </w:r>
    </w:p>
    <w:p w14:paraId="41E32A67" w14:textId="77777777" w:rsidR="009F1847" w:rsidRDefault="009F1847" w:rsidP="009F18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14:paraId="6278108C" w14:textId="527345DF" w:rsidR="00D35889" w:rsidRPr="00D35889" w:rsidRDefault="00D35889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2E7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Старосубхангуловский</w:t>
      </w:r>
      <w:proofErr w:type="spellEnd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Бурзянский</w:t>
      </w:r>
      <w:proofErr w:type="spellEnd"/>
      <w:r w:rsidRPr="00D3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на 2023 год и на плановый период 2024 и 2025 годов</w:t>
      </w:r>
    </w:p>
    <w:p w14:paraId="2FE137A4" w14:textId="77777777" w:rsidR="00984009" w:rsidRPr="008F7233" w:rsidRDefault="00984009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BB2423A" w14:textId="77777777" w:rsidR="003573DC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14:paraId="20A35974" w14:textId="2D2FB639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год:</w:t>
      </w:r>
    </w:p>
    <w:p w14:paraId="35AB7B54" w14:textId="1543F5FE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10568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EA7043C" w14:textId="30415A7B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10568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85A268C" w14:textId="6417047B" w:rsidR="003573DC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5859DE6" w14:textId="2D1FA7BB" w:rsidR="00221588" w:rsidRPr="00221588" w:rsidRDefault="00221588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2024 года в сумме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0786FA" w14:textId="6E3D0B5E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5D1F991" w14:textId="746350FC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 прогнозируемый общий объем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9181,2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9371,2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5FF3DD" w14:textId="736088E5" w:rsidR="003573DC" w:rsidRPr="00221588" w:rsidRDefault="003573DC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9181,2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F0D8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6C273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9371,2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расходы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387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6C273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spellEnd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31B2401" w14:textId="4DD7E062" w:rsidR="003573DC" w:rsidRDefault="003573DC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</w:t>
      </w:r>
      <w:r w:rsidR="00DE3DC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</w:t>
      </w:r>
      <w:r w:rsidR="009316D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C7D24D5" w14:textId="5D4D7E79" w:rsidR="009316DC" w:rsidRPr="008F7233" w:rsidRDefault="00221588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2025 года в сумме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DE57125" w14:textId="3420CDD8" w:rsidR="003573DC" w:rsidRPr="008F7233" w:rsidRDefault="003573DC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2</w:t>
      </w:r>
    </w:p>
    <w:p w14:paraId="7F05DDB9" w14:textId="4F1D4A2F" w:rsidR="00250FDD" w:rsidRPr="008F7233" w:rsidRDefault="003573DC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proofErr w:type="gramEnd"/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3D6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осуществления расходов, соответствующих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целям, на достижение которых предоставлены добровольные</w:t>
      </w:r>
      <w:r w:rsidR="003D62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14:paraId="38553641" w14:textId="5C8F1174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3</w:t>
      </w:r>
    </w:p>
    <w:p w14:paraId="3A65B61B" w14:textId="599508A9" w:rsidR="003573DC" w:rsidRDefault="003573DC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 согласно приложени</w:t>
      </w:r>
      <w:r w:rsidR="00002F9F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1731F">
        <w:rPr>
          <w:rFonts w:ascii="Times New Roman" w:hAnsi="Times New Roman" w:cs="Times New Roman"/>
          <w:b w:val="0"/>
          <w:bCs w:val="0"/>
          <w:sz w:val="28"/>
          <w:szCs w:val="28"/>
        </w:rPr>
        <w:t>,2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08060B" w14:textId="430AC209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4</w:t>
      </w:r>
    </w:p>
    <w:p w14:paraId="097834DD" w14:textId="79705ABD" w:rsidR="003573DC" w:rsidRPr="00DC342D" w:rsidRDefault="003573DC" w:rsidP="002A5BF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7928F3CC" w14:textId="77777777" w:rsidR="0061731F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61731F">
        <w:rPr>
          <w:rFonts w:ascii="Times New Roman" w:hAnsi="Times New Roman" w:cs="Times New Roman"/>
          <w:bCs w:val="0"/>
          <w:sz w:val="28"/>
          <w:szCs w:val="28"/>
        </w:rPr>
        <w:t>5</w:t>
      </w:r>
    </w:p>
    <w:p w14:paraId="43BED2CF" w14:textId="7323FFB9" w:rsidR="003573DC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AAA3B19" w14:textId="3C6BC1EE" w:rsidR="003573DC" w:rsidRPr="008F7233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D866D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FA9F723" w14:textId="29CA16C7" w:rsidR="003573DC" w:rsidRDefault="003573DC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D866D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1A559A9" w14:textId="3B1D8ADC" w:rsidR="003573DC" w:rsidRDefault="00475D10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приложению </w:t>
      </w:r>
      <w:r w:rsidR="00CE5CB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C471667" w14:textId="544EFE06" w:rsidR="008D2F01" w:rsidRDefault="002A5BF8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053D23"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250FDD">
        <w:rPr>
          <w:rFonts w:ascii="Times New Roman" w:hAnsi="Times New Roman" w:cs="Times New Roman"/>
          <w:bCs w:val="0"/>
          <w:sz w:val="28"/>
          <w:szCs w:val="28"/>
        </w:rPr>
        <w:t>6</w:t>
      </w:r>
    </w:p>
    <w:p w14:paraId="2E335FFC" w14:textId="71A4E1D4" w:rsidR="00053D23" w:rsidRDefault="00053D23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448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03F615FA" w14:textId="04EADD33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Проекты нормативн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только при одновременном внесении предложений о дополнительных источниках доходов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2B5B99E" w14:textId="35A2CB84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proofErr w:type="gramStart"/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исключением случаев, связанных с реализацией </w:t>
      </w:r>
      <w:r w:rsidR="004A444D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поручений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r w:rsidR="00D353C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B96850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proofErr w:type="gramEnd"/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68BF08C" w14:textId="0150E5E3" w:rsidR="00443C27" w:rsidRPr="00E16B38" w:rsidRDefault="00250FDD" w:rsidP="00443C2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7</w:t>
      </w:r>
    </w:p>
    <w:p w14:paraId="609E92CD" w14:textId="6D474444" w:rsidR="00053D23" w:rsidRPr="00250FDD" w:rsidRDefault="00443C27" w:rsidP="00250FDD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proofErr w:type="gram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83B3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proofErr w:type="spellStart"/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26DE6D" w14:textId="62320CB7" w:rsidR="00394112" w:rsidRPr="008F7233" w:rsidRDefault="00394112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250FDD">
        <w:rPr>
          <w:rFonts w:ascii="Times New Roman" w:hAnsi="Times New Roman" w:cs="Times New Roman"/>
          <w:bCs w:val="0"/>
          <w:sz w:val="28"/>
          <w:szCs w:val="28"/>
        </w:rPr>
        <w:t>8</w:t>
      </w:r>
    </w:p>
    <w:p w14:paraId="7DCEE161" w14:textId="566A2D7D" w:rsidR="007E0CBA" w:rsidRPr="0036544F" w:rsidRDefault="00C969E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долга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Республики Башкортостан </w:t>
      </w:r>
      <w:r w:rsidR="00C3548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0F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E32E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 w:rsidR="009979EF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796DD5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1 января </w:t>
      </w:r>
      <w:r w:rsidR="009D264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C63106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 w:rsidR="00F8141F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DA38A3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979EF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9AA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DE3DCC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D1BDD"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991830C" w14:textId="32CF3D30" w:rsidR="00CA52FC" w:rsidRDefault="00C969E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7D7A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 w:rsidR="00EC15B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>2023 год в сумме 0,00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</w:t>
      </w:r>
      <w:r w:rsidR="00071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025 год в сумме 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E6E1D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47B6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BF7D7A"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61976E" w14:textId="51B8E55D" w:rsidR="00421CA7" w:rsidRPr="004F0C20" w:rsidRDefault="00A25B52" w:rsidP="004F0C2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муниципальные внутренние заимствования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 w:rsidR="002E782C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Старосубхангуловский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 xml:space="preserve"> сельсовет 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61731F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иципальн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ого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  <w:lang w:val="ba-RU"/>
        </w:rPr>
        <w:t>а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2023 году </w:t>
      </w:r>
      <w:r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>и плановом</w:t>
      </w:r>
      <w:r w:rsidR="00E107B4" w:rsidRPr="00A25B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периоде 2024 и 2025 годов не осуществляются.</w:t>
      </w:r>
    </w:p>
    <w:p w14:paraId="0433CF10" w14:textId="5A8B8CFD" w:rsidR="00394112" w:rsidRPr="008F7233" w:rsidRDefault="00394112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4F0C20">
        <w:rPr>
          <w:rFonts w:ascii="Times New Roman" w:hAnsi="Times New Roman" w:cs="Times New Roman"/>
          <w:bCs w:val="0"/>
          <w:sz w:val="28"/>
          <w:szCs w:val="28"/>
        </w:rPr>
        <w:t>9</w:t>
      </w:r>
    </w:p>
    <w:p w14:paraId="529B3C67" w14:textId="3E01A532" w:rsidR="00D749B2" w:rsidRPr="008F7233" w:rsidRDefault="005F6A3B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порядке, установленном 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2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задолженность перед </w:t>
      </w:r>
      <w:r w:rsidR="00162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бюджетом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proofErr w:type="gramEnd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связи с ликвидацией этих организаций вследствие признания их по решению суда несостоятельными (банкротами).</w:t>
      </w:r>
    </w:p>
    <w:p w14:paraId="63FC6427" w14:textId="1BF166F4" w:rsidR="002F73BF" w:rsidRDefault="002F73BF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21CA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F0C2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F576642" w14:textId="2E49DBEF" w:rsidR="002F73BF" w:rsidRDefault="00421CA7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и </w:t>
      </w:r>
      <w:r w:rsidR="001627A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1731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3C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4F0C20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льском поселении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4F0C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75D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83208D" w:rsidRPr="008320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320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73BF" w:rsidRPr="003A3B3C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Башкортостан»</w:t>
      </w:r>
      <w:r w:rsidR="00221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4F3060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особенностями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исполнения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CA39BD" w14:textId="148856DB" w:rsidR="00DA4664" w:rsidRPr="00BB151C" w:rsidRDefault="00C2717D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бюджетных ассигнований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экономии,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возникшей в ходе исполнения </w:t>
      </w:r>
      <w:r w:rsidR="0078767E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E782C">
        <w:rPr>
          <w:rFonts w:ascii="Times New Roman" w:eastAsia="Times New Roman" w:hAnsi="Times New Roman"/>
          <w:sz w:val="28"/>
          <w:szCs w:val="28"/>
          <w:lang w:eastAsia="ru-RU"/>
        </w:rPr>
        <w:t>Старосубхангуловский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>Бурзянский</w:t>
      </w:r>
      <w:proofErr w:type="spellEnd"/>
      <w:r w:rsidR="006040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0F591E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товаров, работ, услуг путем </w:t>
      </w:r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конкурентных способов определения</w:t>
      </w:r>
      <w:proofErr w:type="gramEnd"/>
      <w:r w:rsidR="00747B85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поставщиков (подрядчиков, исполнителей)</w:t>
      </w:r>
      <w:r w:rsidR="00B05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AFDD3F" w14:textId="2C74A6BA" w:rsidR="00BE368F" w:rsidRDefault="0061731F" w:rsidP="0061731F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исполнение </w:t>
      </w:r>
      <w:r w:rsidR="007876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E782C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>Бурзянский</w:t>
      </w:r>
      <w:proofErr w:type="spellEnd"/>
      <w:r w:rsidR="00604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законодательством.</w:t>
      </w:r>
    </w:p>
    <w:p w14:paraId="16C7857E" w14:textId="77777777" w:rsidR="00B2551A" w:rsidRDefault="00B2551A" w:rsidP="00EC57B7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58F0CF" w14:textId="49E2E4F1" w:rsidR="00CA52FC" w:rsidRPr="008F7233" w:rsidRDefault="00CA52FC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="00C206D2">
        <w:rPr>
          <w:rFonts w:ascii="Times New Roman" w:hAnsi="Times New Roman" w:cs="Times New Roman"/>
          <w:bCs w:val="0"/>
          <w:sz w:val="28"/>
          <w:szCs w:val="28"/>
        </w:rPr>
        <w:t>1</w:t>
      </w:r>
      <w:r w:rsidR="003D213E">
        <w:rPr>
          <w:rFonts w:ascii="Times New Roman" w:hAnsi="Times New Roman" w:cs="Times New Roman"/>
          <w:bCs w:val="0"/>
          <w:sz w:val="28"/>
          <w:szCs w:val="28"/>
        </w:rPr>
        <w:t>1</w:t>
      </w:r>
    </w:p>
    <w:p w14:paraId="121B44B1" w14:textId="77777777" w:rsidR="00CA52FC" w:rsidRPr="008F7233" w:rsidRDefault="00CA52FC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E0A0D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3B26E7C8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96C74F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C3C2C9" w14:textId="77777777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14:paraId="1CC98C01" w14:textId="644B7B46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E782C">
        <w:rPr>
          <w:rFonts w:ascii="Times New Roman" w:hAnsi="Times New Roman" w:cs="Times New Roman"/>
          <w:sz w:val="28"/>
          <w:szCs w:val="28"/>
        </w:rPr>
        <w:t>Старосубхангуловский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200C7DE" w14:textId="77777777" w:rsidR="003D213E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96911DE" w14:textId="06AB6F13" w:rsidR="00CA52FC" w:rsidRDefault="003D213E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</w:t>
      </w:r>
      <w:r w:rsidR="00142316">
        <w:rPr>
          <w:rFonts w:ascii="Times New Roman" w:hAnsi="Times New Roman" w:cs="Times New Roman"/>
          <w:sz w:val="28"/>
          <w:szCs w:val="28"/>
        </w:rPr>
        <w:t xml:space="preserve">   </w:t>
      </w:r>
      <w:r w:rsidR="00AF0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78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782C">
        <w:rPr>
          <w:rFonts w:ascii="Times New Roman" w:hAnsi="Times New Roman" w:cs="Times New Roman"/>
          <w:sz w:val="28"/>
          <w:szCs w:val="28"/>
        </w:rPr>
        <w:t>Р.Р.Шахниязов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A0D">
        <w:rPr>
          <w:rFonts w:ascii="Times New Roman" w:hAnsi="Times New Roman" w:cs="Times New Roman"/>
          <w:sz w:val="28"/>
          <w:szCs w:val="28"/>
        </w:rPr>
        <w:t xml:space="preserve"> </w:t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  <w:r w:rsidR="0060402A">
        <w:rPr>
          <w:rFonts w:ascii="Times New Roman" w:hAnsi="Times New Roman" w:cs="Times New Roman"/>
          <w:sz w:val="28"/>
          <w:szCs w:val="28"/>
        </w:rPr>
        <w:tab/>
      </w:r>
    </w:p>
    <w:sectPr w:rsidR="00CA52FC" w:rsidSect="004F0C20">
      <w:headerReference w:type="default" r:id="rId9"/>
      <w:headerReference w:type="first" r:id="rId10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299DA" w14:textId="77777777" w:rsidR="00CE74FD" w:rsidRDefault="00CE74FD" w:rsidP="00A73E2F">
      <w:r>
        <w:separator/>
      </w:r>
    </w:p>
  </w:endnote>
  <w:endnote w:type="continuationSeparator" w:id="0">
    <w:p w14:paraId="36BF23AB" w14:textId="77777777" w:rsidR="00CE74FD" w:rsidRDefault="00CE74FD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160E" w14:textId="77777777" w:rsidR="00CE74FD" w:rsidRDefault="00CE74FD" w:rsidP="00A73E2F">
      <w:r>
        <w:separator/>
      </w:r>
    </w:p>
  </w:footnote>
  <w:footnote w:type="continuationSeparator" w:id="0">
    <w:p w14:paraId="122C84BD" w14:textId="77777777" w:rsidR="00CE74FD" w:rsidRDefault="00CE74FD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1CBC" w14:textId="23F30B92" w:rsidR="00EC15B6" w:rsidRPr="00156A4F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72D3C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512C1045" w14:textId="77777777" w:rsidR="00EC15B6" w:rsidRPr="00156A4F" w:rsidRDefault="00EC15B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CAC7" w14:textId="77777777" w:rsidR="00EC15B6" w:rsidRPr="007226DB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750F2A3" w14:textId="77777777" w:rsidR="00EC15B6" w:rsidRPr="007226DB" w:rsidRDefault="00EC15B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316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2CA0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E782C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09C2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866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47B6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1B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C19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5280"/>
    <w:rsid w:val="008563F9"/>
    <w:rsid w:val="008568DC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0E3"/>
    <w:rsid w:val="008767EA"/>
    <w:rsid w:val="008768B6"/>
    <w:rsid w:val="00877732"/>
    <w:rsid w:val="00881412"/>
    <w:rsid w:val="008819D6"/>
    <w:rsid w:val="00881BCC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5B60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6FC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D7F2C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847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079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2D3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0D8E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39D0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4FD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7F4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B6DE-4B9F-4337-B306-679B41A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staro</cp:lastModifiedBy>
  <cp:revision>4</cp:revision>
  <cp:lastPrinted>2022-11-11T12:56:00Z</cp:lastPrinted>
  <dcterms:created xsi:type="dcterms:W3CDTF">2022-11-25T05:11:00Z</dcterms:created>
  <dcterms:modified xsi:type="dcterms:W3CDTF">2022-11-28T05:22:00Z</dcterms:modified>
</cp:coreProperties>
</file>