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A" w:rsidRDefault="00E355CA">
      <w:pPr>
        <w:rPr>
          <w:lang w:val="be-BY"/>
        </w:rPr>
      </w:pP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</w:t>
      </w:r>
      <w:r>
        <w:rPr>
          <w:rFonts w:ascii="Arial" w:hAnsi="Arial" w:cs="Arial"/>
          <w:b/>
          <w:noProof/>
          <w:sz w:val="20"/>
          <w:szCs w:val="20"/>
        </w:rPr>
        <w:t>Һ</w:t>
      </w:r>
      <w:r>
        <w:rPr>
          <w:rFonts w:ascii="Calibri" w:hAnsi="Calibri" w:cs="Calibri"/>
          <w:b/>
          <w:noProof/>
          <w:sz w:val="20"/>
          <w:szCs w:val="20"/>
        </w:rPr>
        <w:t>Ы Б</w:t>
      </w:r>
      <w:r>
        <w:rPr>
          <w:rFonts w:ascii="Arial" w:hAnsi="Arial" w:cs="Arial"/>
          <w:b/>
          <w:noProof/>
          <w:sz w:val="20"/>
          <w:szCs w:val="20"/>
        </w:rPr>
        <w:t>Ө</w:t>
      </w:r>
      <w:r>
        <w:rPr>
          <w:rFonts w:ascii="Calibri" w:hAnsi="Calibri" w:cs="Calibri"/>
          <w:b/>
          <w:noProof/>
          <w:sz w:val="20"/>
          <w:szCs w:val="20"/>
        </w:rPr>
        <w:t>РЙ</w:t>
      </w:r>
      <w:r>
        <w:rPr>
          <w:rFonts w:ascii="Arial" w:hAnsi="Arial" w:cs="Arial"/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E355CA" w:rsidRDefault="00E355CA" w:rsidP="00E355C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БУРЗЯНСКИЙ РАЙОН 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E355CA" w:rsidRDefault="00E355CA" w:rsidP="00E355C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E355CA" w:rsidRDefault="001E130F" w:rsidP="00E355CA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2649855</wp:posOffset>
            </wp:positionH>
            <wp:positionV relativeFrom="margin">
              <wp:posOffset>-26670</wp:posOffset>
            </wp:positionV>
            <wp:extent cx="689610" cy="800100"/>
            <wp:effectExtent l="19050" t="0" r="0" b="0"/>
            <wp:wrapSquare wrapText="bothSides"/>
            <wp:docPr id="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CA" w:rsidRDefault="00E355CA" w:rsidP="00E355CA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E355CA" w:rsidRDefault="00E355CA" w:rsidP="00E355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CA" w:rsidRDefault="00E355CA" w:rsidP="00E355CA">
      <w:pPr>
        <w:ind w:left="150" w:right="23"/>
        <w:jc w:val="center"/>
        <w:rPr>
          <w:b/>
          <w:bCs/>
          <w:noProof/>
        </w:rPr>
      </w:pPr>
    </w:p>
    <w:p w:rsidR="00E355CA" w:rsidRDefault="00E355CA" w:rsidP="00E355CA">
      <w:pPr>
        <w:ind w:left="150" w:right="23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ПОСТАНОВЛЕНИЕ</w:t>
      </w:r>
    </w:p>
    <w:p w:rsidR="00E355CA" w:rsidRDefault="00E355CA" w:rsidP="00E355C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E355CA" w:rsidRDefault="00E355CA" w:rsidP="00E355CA">
      <w:pPr>
        <w:ind w:left="150" w:right="23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</w:t>
      </w:r>
      <w:r w:rsidR="001E130F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 xml:space="preserve">» март  2017 й.      </w:t>
      </w:r>
      <w:r>
        <w:rPr>
          <w:b/>
          <w:bCs/>
          <w:noProof/>
          <w:sz w:val="28"/>
          <w:szCs w:val="28"/>
        </w:rPr>
        <w:tab/>
        <w:t xml:space="preserve">          № </w:t>
      </w:r>
      <w:r w:rsidR="00CD0291" w:rsidRPr="00CD0291">
        <w:rPr>
          <w:b/>
          <w:bCs/>
          <w:noProof/>
          <w:sz w:val="28"/>
          <w:szCs w:val="28"/>
          <w:u w:val="single"/>
        </w:rPr>
        <w:t>7/</w:t>
      </w:r>
      <w:r w:rsidR="0001326F">
        <w:rPr>
          <w:b/>
          <w:bCs/>
          <w:noProof/>
          <w:sz w:val="28"/>
          <w:szCs w:val="28"/>
          <w:u w:val="single"/>
        </w:rPr>
        <w:t>3</w:t>
      </w:r>
      <w:r>
        <w:rPr>
          <w:b/>
          <w:bCs/>
          <w:noProof/>
          <w:sz w:val="28"/>
          <w:szCs w:val="28"/>
        </w:rPr>
        <w:t xml:space="preserve">_-п                </w:t>
      </w:r>
      <w:r>
        <w:rPr>
          <w:b/>
          <w:bCs/>
          <w:noProof/>
          <w:sz w:val="28"/>
          <w:szCs w:val="28"/>
        </w:rPr>
        <w:tab/>
        <w:t xml:space="preserve"> «</w:t>
      </w:r>
      <w:r w:rsidR="001E130F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» марта 2017 г.</w:t>
      </w:r>
    </w:p>
    <w:p w:rsidR="00E355CA" w:rsidRDefault="00E355CA" w:rsidP="00E355CA">
      <w:pPr>
        <w:ind w:left="150" w:right="23"/>
        <w:jc w:val="both"/>
        <w:rPr>
          <w:b/>
          <w:bCs/>
          <w:noProof/>
          <w:sz w:val="28"/>
          <w:szCs w:val="28"/>
        </w:rPr>
      </w:pPr>
    </w:p>
    <w:p w:rsidR="00E355CA" w:rsidRDefault="00E355CA" w:rsidP="00CD0291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CD0291">
        <w:rPr>
          <w:rFonts w:ascii="Times New Roman" w:hAnsi="Times New Roman" w:cs="Times New Roman"/>
          <w:bCs w:val="0"/>
          <w:sz w:val="28"/>
          <w:szCs w:val="28"/>
        </w:rPr>
        <w:t>признании утратившим силу постановление СП Старосубхангуловский сельсовет от 06.05.2013 г. №19/1-п «Об утверждении Административного регламента администрации сельского поселения Старосубхангуловский сельсовет муниципального района Бурзянский район Республики Башкортостан «</w:t>
      </w:r>
      <w:r w:rsidR="00905871">
        <w:rPr>
          <w:rFonts w:ascii="Times New Roman" w:hAnsi="Times New Roman" w:cs="Times New Roman"/>
          <w:bCs w:val="0"/>
          <w:sz w:val="28"/>
          <w:szCs w:val="28"/>
        </w:rPr>
        <w:t>Муниципальный контроль в области использования и охраны, особо охраняемых природных территорий сельского поселения»</w:t>
      </w:r>
    </w:p>
    <w:p w:rsidR="00E355CA" w:rsidRDefault="00E355CA" w:rsidP="00E355CA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E355CA" w:rsidRPr="00D56516" w:rsidRDefault="00E355CA" w:rsidP="00E355CA">
      <w:pPr>
        <w:ind w:firstLine="708"/>
        <w:jc w:val="both"/>
        <w:rPr>
          <w:sz w:val="28"/>
          <w:szCs w:val="28"/>
        </w:rPr>
      </w:pPr>
      <w:proofErr w:type="gramStart"/>
      <w:r w:rsidRPr="00D56516">
        <w:rPr>
          <w:color w:val="000000"/>
          <w:sz w:val="28"/>
          <w:szCs w:val="28"/>
        </w:rPr>
        <w:t xml:space="preserve">Во исполнение требований </w:t>
      </w:r>
      <w:r>
        <w:rPr>
          <w:color w:val="000000"/>
          <w:sz w:val="28"/>
          <w:szCs w:val="28"/>
        </w:rPr>
        <w:t>протеста прокуратуры Бурзянского района от 28.02.2017 № 4-2017на постановление СП Старосубхангуловский сельсовет от 31.10.2013г № 52-п, согласно внесенным изменениям в Федеральный закон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3 июля 2016 №277-ФЗ, 3июля 2016 года №354-ФЗ</w:t>
      </w:r>
      <w:r w:rsidRPr="00D56516">
        <w:rPr>
          <w:sz w:val="28"/>
          <w:szCs w:val="28"/>
        </w:rPr>
        <w:t xml:space="preserve"> Администрация </w:t>
      </w:r>
      <w:r w:rsidRPr="00D56516">
        <w:rPr>
          <w:color w:val="000000"/>
          <w:sz w:val="28"/>
          <w:szCs w:val="28"/>
        </w:rPr>
        <w:t xml:space="preserve">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</w:t>
      </w:r>
      <w:r w:rsidRPr="00D56516">
        <w:rPr>
          <w:sz w:val="28"/>
          <w:szCs w:val="28"/>
        </w:rPr>
        <w:t>муниципального района</w:t>
      </w:r>
      <w:proofErr w:type="gramEnd"/>
      <w:r w:rsidRPr="00D56516">
        <w:rPr>
          <w:sz w:val="28"/>
          <w:szCs w:val="28"/>
        </w:rPr>
        <w:t xml:space="preserve"> Бурзянский район Республики Башкортостан   ПОСТАНОВЛЯЕТ:</w:t>
      </w:r>
    </w:p>
    <w:p w:rsidR="00E355CA" w:rsidRDefault="00E355CA" w:rsidP="00B67EC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изменение следующие изменения:</w:t>
      </w:r>
    </w:p>
    <w:p w:rsidR="00E355CA" w:rsidRDefault="00700FD6" w:rsidP="00B6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28D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1.4</w:t>
      </w:r>
      <w:r w:rsidR="0011128D">
        <w:rPr>
          <w:sz w:val="28"/>
          <w:szCs w:val="28"/>
        </w:rPr>
        <w:t xml:space="preserve"> Регламента изложить в следующей редакции»</w:t>
      </w:r>
    </w:p>
    <w:p w:rsidR="0011128D" w:rsidRDefault="0011128D" w:rsidP="00B6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</w:t>
      </w:r>
    </w:p>
    <w:p w:rsidR="0011128D" w:rsidRDefault="0011128D" w:rsidP="00B6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планов.</w:t>
      </w:r>
    </w:p>
    <w:p w:rsidR="0011128D" w:rsidRDefault="0011128D" w:rsidP="00B6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руководителем органа муниципального контроля ежегодный план проведения плановых проверок  доводится до сведения </w:t>
      </w:r>
      <w:r>
        <w:rPr>
          <w:sz w:val="28"/>
          <w:szCs w:val="28"/>
        </w:rPr>
        <w:lastRenderedPageBreak/>
        <w:t>заинтересованных лиц посредством его размещения на официальном сайте</w:t>
      </w:r>
      <w:r w:rsidR="001C16E5">
        <w:rPr>
          <w:sz w:val="28"/>
          <w:szCs w:val="28"/>
        </w:rPr>
        <w:t xml:space="preserve"> сельского поселения в сети «Интернет» либо иным доступным способом.</w:t>
      </w:r>
    </w:p>
    <w:p w:rsidR="003B422F" w:rsidRDefault="003B422F" w:rsidP="00B6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 органом муниципального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главы СП, заместителя главы СП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</w:t>
      </w:r>
      <w:r w:rsidR="00C04BAD">
        <w:rPr>
          <w:sz w:val="28"/>
          <w:szCs w:val="28"/>
        </w:rPr>
        <w:t xml:space="preserve">электронной почты юридического лица, индивидуального предпринимателя, если такой адрес содержится соответственно в едином государственном реестре индивидуальных </w:t>
      </w:r>
      <w:proofErr w:type="gramStart"/>
      <w:r w:rsidR="00C04BAD">
        <w:rPr>
          <w:sz w:val="28"/>
          <w:szCs w:val="28"/>
        </w:rPr>
        <w:t>предпринимателей</w:t>
      </w:r>
      <w:proofErr w:type="gramEnd"/>
      <w:r w:rsidR="00C04BAD"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администрацию сельского поселения, или иным доступным способом. </w:t>
      </w:r>
    </w:p>
    <w:p w:rsidR="00700FD6" w:rsidRDefault="00700FD6" w:rsidP="00E355CA">
      <w:pPr>
        <w:ind w:left="1068"/>
        <w:jc w:val="both"/>
        <w:rPr>
          <w:sz w:val="28"/>
          <w:szCs w:val="28"/>
        </w:rPr>
      </w:pPr>
    </w:p>
    <w:p w:rsidR="00B67EC6" w:rsidRPr="00B67EC6" w:rsidRDefault="00700FD6" w:rsidP="00B67EC6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EC6">
        <w:rPr>
          <w:sz w:val="28"/>
          <w:szCs w:val="28"/>
        </w:rPr>
        <w:t xml:space="preserve">ст. 1.5 Регламента дополнить следующим: </w:t>
      </w:r>
    </w:p>
    <w:p w:rsidR="00B67EC6" w:rsidRPr="00B67EC6" w:rsidRDefault="00B67EC6" w:rsidP="00B67E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7EC6">
        <w:rPr>
          <w:color w:val="000000"/>
          <w:sz w:val="28"/>
          <w:szCs w:val="28"/>
        </w:rPr>
        <w:t>Орган государственного жилищного надзора, орган муниципального жилищного контроля вправе обратиться в суд с заявлениями:</w:t>
      </w:r>
    </w:p>
    <w:p w:rsidR="00B67EC6" w:rsidRPr="00B67EC6" w:rsidRDefault="00B67EC6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EC6">
        <w:rPr>
          <w:color w:val="000000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B67EC6" w:rsidRPr="00B67EC6" w:rsidRDefault="00B67EC6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7EC6">
        <w:rPr>
          <w:color w:val="000000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67EC6" w:rsidRPr="00B67EC6" w:rsidRDefault="00B67EC6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67EC6">
        <w:rPr>
          <w:color w:val="000000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B67EC6">
        <w:rPr>
          <w:color w:val="000000"/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B67EC6" w:rsidRPr="00B67EC6" w:rsidRDefault="00B67EC6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EC6">
        <w:rPr>
          <w:color w:val="000000"/>
          <w:sz w:val="28"/>
          <w:szCs w:val="28"/>
        </w:rPr>
        <w:lastRenderedPageBreak/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B67EC6" w:rsidRDefault="00B67EC6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7EC6">
        <w:rPr>
          <w:color w:val="000000"/>
          <w:sz w:val="28"/>
          <w:szCs w:val="28"/>
        </w:rPr>
        <w:t xml:space="preserve">5) о признании </w:t>
      </w:r>
      <w:proofErr w:type="gramStart"/>
      <w:r w:rsidRPr="00B67EC6">
        <w:rPr>
          <w:color w:val="00000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B67EC6">
        <w:rPr>
          <w:color w:val="000000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</w:t>
      </w:r>
    </w:p>
    <w:p w:rsidR="00F8464F" w:rsidRDefault="00F8464F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64F" w:rsidRPr="00B67EC6" w:rsidRDefault="00F8464F" w:rsidP="00B67E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E355CA" w:rsidRPr="00E355CA" w:rsidRDefault="00E355CA" w:rsidP="00B67EC6"/>
    <w:sectPr w:rsidR="00E355CA" w:rsidRPr="00E355CA" w:rsidSect="0002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27C0"/>
    <w:multiLevelType w:val="hybridMultilevel"/>
    <w:tmpl w:val="E6444532"/>
    <w:lvl w:ilvl="0" w:tplc="D18EA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2828F5"/>
    <w:multiLevelType w:val="hybridMultilevel"/>
    <w:tmpl w:val="DED0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5A"/>
    <w:rsid w:val="0001326F"/>
    <w:rsid w:val="00027668"/>
    <w:rsid w:val="0011128D"/>
    <w:rsid w:val="0019685A"/>
    <w:rsid w:val="001C16E5"/>
    <w:rsid w:val="001C4193"/>
    <w:rsid w:val="001E130F"/>
    <w:rsid w:val="00361E6B"/>
    <w:rsid w:val="003B422F"/>
    <w:rsid w:val="004B0D8B"/>
    <w:rsid w:val="00574738"/>
    <w:rsid w:val="006359CA"/>
    <w:rsid w:val="006A2D06"/>
    <w:rsid w:val="00700FD6"/>
    <w:rsid w:val="007C70BE"/>
    <w:rsid w:val="008F6F65"/>
    <w:rsid w:val="00905871"/>
    <w:rsid w:val="009442C3"/>
    <w:rsid w:val="009C2010"/>
    <w:rsid w:val="00A849C9"/>
    <w:rsid w:val="00AE17DB"/>
    <w:rsid w:val="00B67EC6"/>
    <w:rsid w:val="00BA15B5"/>
    <w:rsid w:val="00BE2259"/>
    <w:rsid w:val="00C04BAD"/>
    <w:rsid w:val="00C5338B"/>
    <w:rsid w:val="00CD0291"/>
    <w:rsid w:val="00DE2F6D"/>
    <w:rsid w:val="00E17B38"/>
    <w:rsid w:val="00E355CA"/>
    <w:rsid w:val="00F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9685A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Title">
    <w:name w:val="ConsPlusTitle"/>
    <w:rsid w:val="001968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BE2259"/>
    <w:pPr>
      <w:ind w:left="720"/>
      <w:contextualSpacing/>
    </w:pPr>
  </w:style>
  <w:style w:type="character" w:customStyle="1" w:styleId="apple-converted-space">
    <w:name w:val="apple-converted-space"/>
    <w:basedOn w:val="a0"/>
    <w:rsid w:val="00B67EC6"/>
  </w:style>
  <w:style w:type="character" w:styleId="a4">
    <w:name w:val="Hyperlink"/>
    <w:basedOn w:val="a0"/>
    <w:uiPriority w:val="99"/>
    <w:semiHidden/>
    <w:unhideWhenUsed/>
    <w:rsid w:val="00B67E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7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Links>
    <vt:vector size="54" baseType="variant">
      <vt:variant>
        <vt:i4>8257640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consultantplus://offline/ref=0F34F0A2124564F18FEA793914D0E9A47168DA76DA45ECF9AAB9A51DE95D8ED9286607048E57A35AY6r6K</vt:lpwstr>
      </vt:variant>
      <vt:variant>
        <vt:lpwstr/>
      </vt:variant>
      <vt:variant>
        <vt:i4>8257640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consultantplus://offline/ref=0F34F0A2124564F18FEA793914D0E9A47168DB76DE45ECF9AAB9A51DE95D8ED9286607048E57A35BY6r2K</vt:lpwstr>
      </vt:variant>
      <vt:variant>
        <vt:lpwstr/>
      </vt:variant>
      <vt:variant>
        <vt:i4>8257635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consultantplus://offline/ref=0F34F0A2124564F18FEA793914D0E9A47168DA76DA45ECF9AAB9A51DE95D8ED9286607048E57A359Y6rEK</vt:lpwstr>
      </vt:variant>
      <vt:variant>
        <vt:lpwstr/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consultantplus://offline/ref=0F34F0A2124564F18FEA793914D0E9A47168D87EDA43ECF9AAB9A51DE95D8ED9286607048E56A25DY6r0K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consultantplus://offline/ref=0F34F0A2124564F18FEA793914D0E9A47168D87EDA43ECF9AAB9A51DE95D8ED9286607048E57AA50Y6r5K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consultantplus://offline/ref=0F34F0A2124564F18FEA793914D0E9A47168DD7BDA42ECF9AAB9A51DE95D8ED9286607048E57A158Y6rFK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consultantplus://offline/ref=4BB5458BC51B84A74C51E867C09955AB9F8A409F25AA429FD389027087F45AE043D6DB4137sDm4K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consultantplus://offline/ref=4BB5458BC51B84A74C51E867C09955AB9F8A409F25AA429FD389027087F45AE043D6DB4435D7CB50s7m9K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consultantplus://offline/ref=4BB5458BC51B84A74C51E867C09955AB9F8A429A24AD429FD389027087F45AE043D6DB4435D6CB57s7m8K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2017-06-20T08:08:00Z</cp:lastPrinted>
  <dcterms:created xsi:type="dcterms:W3CDTF">2017-10-06T05:32:00Z</dcterms:created>
  <dcterms:modified xsi:type="dcterms:W3CDTF">2017-10-06T05:53:00Z</dcterms:modified>
</cp:coreProperties>
</file>